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药学院</w:t>
      </w:r>
      <w:r>
        <w:rPr>
          <w:rFonts w:hint="eastAsia" w:ascii="仿宋_GB2312" w:eastAsia="仿宋_GB2312"/>
          <w:b/>
          <w:sz w:val="30"/>
          <w:szCs w:val="30"/>
        </w:rPr>
        <w:t>研究生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原始资料审核整改情况说明</w:t>
      </w:r>
    </w:p>
    <w:tbl>
      <w:tblPr>
        <w:tblStyle w:val="3"/>
        <w:tblpPr w:leftFromText="180" w:rightFromText="180" w:horzAnchor="margin" w:tblpY="675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739"/>
        <w:gridCol w:w="2079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7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27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抽检审核结果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专家意见概述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整改</w:t>
            </w:r>
            <w:r>
              <w:rPr>
                <w:rFonts w:hint="eastAsia" w:ascii="仿宋_GB2312" w:eastAsia="仿宋_GB2312"/>
                <w:sz w:val="28"/>
                <w:szCs w:val="28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</w:trPr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346" w:type="dxa"/>
            <w:gridSpan w:val="4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导师签名：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C3EE9"/>
    <w:rsid w:val="282C3E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2018-05-18T09:34:00Z</dcterms:created>
  <dc:creator>Administrator</dc:creator>
  <cp:lastModifiedBy>Administrator</cp:lastModifiedBy>
  <dcterms:modified xsi:type="dcterms:W3CDTF">2018-05-18T09:36:32Z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