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6"/>
          <w:rFonts w:hint="eastAsia" w:ascii="方正小标宋简体" w:hAnsi="黑体" w:eastAsia="方正小标宋简体" w:cs="黑体"/>
          <w:b w:val="0"/>
          <w:sz w:val="32"/>
          <w:szCs w:val="32"/>
          <w:lang w:val="en-US" w:eastAsia="zh-CN"/>
        </w:rPr>
      </w:pPr>
      <w:r>
        <w:rPr>
          <w:rStyle w:val="6"/>
          <w:rFonts w:hint="eastAsia" w:ascii="方正小标宋简体" w:hAnsi="黑体" w:eastAsia="方正小标宋简体" w:cs="黑体"/>
          <w:b w:val="0"/>
          <w:sz w:val="32"/>
          <w:szCs w:val="32"/>
          <w:lang w:val="en-US" w:eastAsia="zh-CN"/>
        </w:rPr>
        <w:t>附件5：</w:t>
      </w:r>
    </w:p>
    <w:p>
      <w:pPr>
        <w:spacing w:line="600" w:lineRule="exact"/>
        <w:jc w:val="center"/>
        <w:rPr>
          <w:rStyle w:val="6"/>
          <w:rFonts w:hint="eastAsia" w:ascii="方正小标宋简体" w:hAnsi="黑体" w:eastAsia="方正小标宋简体" w:cs="黑体"/>
          <w:b w:val="0"/>
          <w:sz w:val="32"/>
          <w:szCs w:val="32"/>
        </w:rPr>
      </w:pPr>
      <w:r>
        <w:rPr>
          <w:rStyle w:val="6"/>
          <w:rFonts w:hint="eastAsia" w:ascii="方正小标宋简体" w:hAnsi="黑体" w:eastAsia="方正小标宋简体" w:cs="黑体"/>
          <w:b w:val="0"/>
          <w:sz w:val="32"/>
          <w:szCs w:val="32"/>
        </w:rPr>
        <w:t>红旅赛道评审规则</w:t>
      </w: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一、红旅赛道公益组项目</w:t>
      </w:r>
      <w:r>
        <w:rPr>
          <w:rFonts w:ascii="黑体" w:hAnsi="黑体" w:eastAsia="黑体" w:cs="仿宋_GB2312"/>
          <w:bCs/>
          <w:sz w:val="32"/>
          <w:szCs w:val="32"/>
        </w:rPr>
        <w:t>评审</w:t>
      </w:r>
      <w:r>
        <w:rPr>
          <w:rFonts w:hint="eastAsia" w:ascii="黑体" w:hAnsi="黑体" w:eastAsia="黑体" w:cs="仿宋_GB2312"/>
          <w:bCs/>
          <w:sz w:val="32"/>
          <w:szCs w:val="32"/>
        </w:rPr>
        <w:t>要点</w:t>
      </w:r>
    </w:p>
    <w:tbl>
      <w:tblPr>
        <w:tblStyle w:val="4"/>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评审要点</w:t>
            </w:r>
          </w:p>
        </w:tc>
        <w:tc>
          <w:tcPr>
            <w:tcW w:w="7513"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评审内容</w:t>
            </w:r>
          </w:p>
        </w:tc>
        <w:tc>
          <w:tcPr>
            <w:tcW w:w="850"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项目团队</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团队成员的基本素质、业务能力、奉献意愿和价值观与项目需求相匹配。</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团队的组织架构与分工协作合理。</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团队权益结构或公司股权结构合理。</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团队的延续性或接替性。</w:t>
            </w:r>
          </w:p>
        </w:tc>
        <w:tc>
          <w:tcPr>
            <w:tcW w:w="850"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公益性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项目以社会价值为导向，以解决社会问题为使命，不以营利为目的，有可预见的公益成果，公益受众的覆盖面广。</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在公益服务领域有良好产品或服务模式。</w:t>
            </w:r>
          </w:p>
        </w:tc>
        <w:tc>
          <w:tcPr>
            <w:tcW w:w="850"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实效性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项目对精准扶贫、乡村振兴和社区治理等社会问题的贡献度。</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在引入社会资源方面对农村组织和农民增收、地方产业结构优化等的效果。</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项目对促进就业、教育、医疗、养老、环境保护与生态建设等方面的效果。</w:t>
            </w:r>
          </w:p>
        </w:tc>
        <w:tc>
          <w:tcPr>
            <w:tcW w:w="850"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创新性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鼓励技术或服务创新、引入或运用新技术，鼓励高校科研成果转化。</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鼓励组织模式创新或进行资源整合。</w:t>
            </w:r>
          </w:p>
        </w:tc>
        <w:tc>
          <w:tcPr>
            <w:tcW w:w="850"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可持续性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项目的持续生存能力。</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创新研发、生产销售、资源整合等持续运营能力。</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项目模式可复制、可推广、具有示范效应等。</w:t>
            </w:r>
          </w:p>
        </w:tc>
        <w:tc>
          <w:tcPr>
            <w:tcW w:w="850"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引领教育</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2.突出大赛的育人本质，充分体现项目成长对团队成员创新精神、创业意识和创新创业能力的锻炼和提升作用。</w:t>
            </w:r>
          </w:p>
        </w:tc>
        <w:tc>
          <w:tcPr>
            <w:tcW w:w="850" w:type="dxa"/>
            <w:vAlign w:val="center"/>
          </w:tcPr>
          <w:p>
            <w:pPr>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必要条件</w:t>
            </w:r>
          </w:p>
        </w:tc>
        <w:tc>
          <w:tcPr>
            <w:tcW w:w="8363" w:type="dxa"/>
            <w:gridSpan w:val="2"/>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参加由学校、省市或全国组织的“青年红色筑梦之旅”活动，符合公益性要求。</w:t>
            </w:r>
          </w:p>
        </w:tc>
      </w:tr>
    </w:tbl>
    <w:p>
      <w:pPr>
        <w:rPr>
          <w:rFonts w:ascii="Calibri" w:hAnsi="Calibri" w:eastAsia="宋体" w:cs="Times New Roman"/>
          <w:szCs w:val="22"/>
        </w:rPr>
      </w:pPr>
    </w:p>
    <w:p>
      <w:pPr>
        <w:widowControl/>
        <w:rPr>
          <w:rFonts w:ascii="Calibri" w:hAnsi="Calibri" w:eastAsia="宋体" w:cs="Times New Roman"/>
          <w:szCs w:val="22"/>
        </w:rPr>
      </w:pPr>
      <w:r>
        <w:rPr>
          <w:rFonts w:ascii="Calibri" w:hAnsi="Calibri" w:eastAsia="宋体" w:cs="Times New Roman"/>
          <w:szCs w:val="22"/>
        </w:rPr>
        <w:br w:type="page"/>
      </w:r>
    </w:p>
    <w:p>
      <w:pPr>
        <w:spacing w:line="560" w:lineRule="exact"/>
        <w:jc w:val="left"/>
        <w:rPr>
          <w:rFonts w:ascii="仿宋_GB2312" w:hAnsi="仿宋_GB2312" w:eastAsia="仿宋_GB2312" w:cs="仿宋"/>
          <w:sz w:val="24"/>
          <w:szCs w:val="24"/>
        </w:rPr>
      </w:pPr>
      <w:r>
        <w:rPr>
          <w:rFonts w:hint="eastAsia" w:ascii="黑体" w:hAnsi="黑体" w:eastAsia="黑体" w:cs="仿宋_GB2312"/>
          <w:bCs/>
          <w:sz w:val="32"/>
          <w:szCs w:val="32"/>
        </w:rPr>
        <w:t>二、红旅赛道商业组项目</w:t>
      </w:r>
      <w:r>
        <w:rPr>
          <w:rFonts w:ascii="黑体" w:hAnsi="黑体" w:eastAsia="黑体" w:cs="仿宋_GB2312"/>
          <w:bCs/>
          <w:sz w:val="32"/>
          <w:szCs w:val="32"/>
        </w:rPr>
        <w:t>评审</w:t>
      </w:r>
      <w:r>
        <w:rPr>
          <w:rFonts w:hint="eastAsia" w:ascii="黑体" w:hAnsi="黑体" w:eastAsia="黑体" w:cs="仿宋_GB2312"/>
          <w:bCs/>
          <w:sz w:val="32"/>
          <w:szCs w:val="32"/>
        </w:rPr>
        <w:t>要点</w:t>
      </w:r>
    </w:p>
    <w:tbl>
      <w:tblPr>
        <w:tblStyle w:val="4"/>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751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5"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评审要点</w:t>
            </w:r>
          </w:p>
        </w:tc>
        <w:tc>
          <w:tcPr>
            <w:tcW w:w="7513"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评审内容</w:t>
            </w:r>
          </w:p>
        </w:tc>
        <w:tc>
          <w:tcPr>
            <w:tcW w:w="850" w:type="dxa"/>
            <w:vAlign w:val="center"/>
          </w:tcPr>
          <w:p>
            <w:pPr>
              <w:spacing w:line="560" w:lineRule="exact"/>
              <w:jc w:val="center"/>
              <w:rPr>
                <w:rFonts w:ascii="仿宋_GB2312" w:hAnsi="方正小标宋简体" w:eastAsia="仿宋_GB2312" w:cs="仿宋"/>
                <w:b/>
                <w:sz w:val="30"/>
                <w:szCs w:val="30"/>
              </w:rPr>
            </w:pPr>
            <w:r>
              <w:rPr>
                <w:rFonts w:hint="eastAsia" w:ascii="仿宋_GB2312" w:hAnsi="方正小标宋简体" w:eastAsia="仿宋_GB2312" w:cs="仿宋"/>
                <w:b/>
                <w:sz w:val="30"/>
                <w:szCs w:val="3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项目团队</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团队成员的基本素质、业务能力、奉献意愿和价值观与项目需求相匹配。</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团队的组织架构与分工协作合理。</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团队权益结构或公司股权结构合理。</w:t>
            </w:r>
          </w:p>
        </w:tc>
        <w:tc>
          <w:tcPr>
            <w:tcW w:w="850"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实效性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项目商业模式设计完整、可行，产品或服务对精准扶贫、乡村振兴和社区治理等社会问题的贡献度。</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在引入社会资源方面对农村组织和农民增收、地方产业结构优化的效果。</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项目对促进文化、教育、医疗、养老、环境保护与生态建设等方面的效果。</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4.项目的成长性与区域经济发展、产业转型升级相结合。</w:t>
            </w:r>
          </w:p>
        </w:tc>
        <w:tc>
          <w:tcPr>
            <w:tcW w:w="850" w:type="dxa"/>
            <w:vAlign w:val="center"/>
          </w:tcPr>
          <w:p>
            <w:pPr>
              <w:widowControl/>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创新性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鼓励技术或服务创新、引入或运用新技术，鼓励高校科研成果转化。</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鼓励在生产、服务、营销等方面创新。</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鼓励组织模式创新或进行资源整合。</w:t>
            </w:r>
          </w:p>
        </w:tc>
        <w:tc>
          <w:tcPr>
            <w:tcW w:w="850" w:type="dxa"/>
            <w:vAlign w:val="center"/>
          </w:tcPr>
          <w:p>
            <w:pPr>
              <w:widowControl/>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可持续性</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项目的持续生存能力。</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经济价值和社会价值适度融合。</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3</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创新研发、生产销售、资源整合等持续运营能力。</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4</w:t>
            </w:r>
            <w:r>
              <w:rPr>
                <w:rFonts w:ascii="仿宋_GB2312" w:hAnsi="方正小标宋简体" w:eastAsia="仿宋_GB2312" w:cs="仿宋"/>
                <w:sz w:val="28"/>
                <w:szCs w:val="28"/>
              </w:rPr>
              <w:t>.</w:t>
            </w:r>
            <w:r>
              <w:rPr>
                <w:rFonts w:hint="eastAsia" w:ascii="仿宋_GB2312" w:hAnsi="方正小标宋简体" w:eastAsia="仿宋_GB2312" w:cs="仿宋"/>
                <w:sz w:val="28"/>
                <w:szCs w:val="28"/>
              </w:rPr>
              <w:t>项目模式可复制、可推广，具有示范效应。</w:t>
            </w:r>
          </w:p>
        </w:tc>
        <w:tc>
          <w:tcPr>
            <w:tcW w:w="850" w:type="dxa"/>
            <w:vAlign w:val="center"/>
          </w:tcPr>
          <w:p>
            <w:pPr>
              <w:widowControl/>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带动就业</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1.项目直接提供就业岗位的数量和质量。</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2.项目间接带动就业的能力和规模。</w:t>
            </w:r>
          </w:p>
        </w:tc>
        <w:tc>
          <w:tcPr>
            <w:tcW w:w="850" w:type="dxa"/>
            <w:vAlign w:val="center"/>
          </w:tcPr>
          <w:p>
            <w:pPr>
              <w:widowControl/>
              <w:spacing w:line="400" w:lineRule="exact"/>
              <w:jc w:val="center"/>
              <w:rPr>
                <w:rFonts w:ascii="仿宋_GB2312" w:hAnsi="方正小标宋简体" w:eastAsia="仿宋_GB2312" w:cs="仿宋"/>
                <w:sz w:val="28"/>
                <w:szCs w:val="28"/>
              </w:rPr>
            </w:pPr>
            <w:r>
              <w:rPr>
                <w:rFonts w:ascii="仿宋_GB2312" w:hAnsi="方正小标宋简体" w:eastAsia="仿宋_GB2312" w:cs="仿宋"/>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引领教育</w:t>
            </w:r>
          </w:p>
        </w:tc>
        <w:tc>
          <w:tcPr>
            <w:tcW w:w="7513" w:type="dxa"/>
            <w:vAlign w:val="center"/>
          </w:tcPr>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1.项目充分体现专业教育与创新创业教育的结合，体现团队成员所学专业知识和技能在项目和相关创新创业活动中的转化与应用。</w:t>
            </w:r>
          </w:p>
          <w:p>
            <w:pPr>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2.突出大赛的育人本质，充分体现项目成长对团队成员创新精神、创业意识和创新创业能力的锻炼和提升作用。</w:t>
            </w:r>
          </w:p>
        </w:tc>
        <w:tc>
          <w:tcPr>
            <w:tcW w:w="850" w:type="dxa"/>
            <w:vAlign w:val="center"/>
          </w:tcPr>
          <w:p>
            <w:pPr>
              <w:widowControl/>
              <w:snapToGrid w:val="0"/>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1</w:t>
            </w:r>
            <w:r>
              <w:rPr>
                <w:rFonts w:ascii="仿宋_GB2312" w:hAnsi="方正小标宋简体" w:eastAsia="仿宋_GB2312" w:cs="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pPr>
              <w:spacing w:line="400" w:lineRule="exact"/>
              <w:jc w:val="center"/>
              <w:rPr>
                <w:rFonts w:ascii="仿宋_GB2312" w:hAnsi="方正小标宋简体" w:eastAsia="仿宋_GB2312" w:cs="仿宋"/>
                <w:sz w:val="28"/>
                <w:szCs w:val="28"/>
              </w:rPr>
            </w:pPr>
            <w:r>
              <w:rPr>
                <w:rFonts w:hint="eastAsia" w:ascii="仿宋_GB2312" w:hAnsi="方正小标宋简体" w:eastAsia="仿宋_GB2312" w:cs="仿宋"/>
                <w:sz w:val="28"/>
                <w:szCs w:val="28"/>
              </w:rPr>
              <w:t>必要条件</w:t>
            </w:r>
          </w:p>
        </w:tc>
        <w:tc>
          <w:tcPr>
            <w:tcW w:w="8363" w:type="dxa"/>
            <w:gridSpan w:val="2"/>
            <w:vAlign w:val="center"/>
          </w:tcPr>
          <w:p>
            <w:pPr>
              <w:widowControl/>
              <w:spacing w:line="400" w:lineRule="exact"/>
              <w:jc w:val="left"/>
              <w:rPr>
                <w:rFonts w:ascii="仿宋_GB2312" w:hAnsi="方正小标宋简体" w:eastAsia="仿宋_GB2312" w:cs="仿宋"/>
                <w:sz w:val="28"/>
                <w:szCs w:val="28"/>
              </w:rPr>
            </w:pPr>
            <w:r>
              <w:rPr>
                <w:rFonts w:hint="eastAsia" w:ascii="仿宋_GB2312" w:hAnsi="方正小标宋简体" w:eastAsia="仿宋_GB2312" w:cs="仿宋"/>
                <w:sz w:val="28"/>
                <w:szCs w:val="28"/>
              </w:rPr>
              <w:t>参加由学校、省市或全国组织的“青年红色筑梦之旅”活动。</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9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qFormat/>
    <w:uiPriority w:val="39"/>
    <w:pPr>
      <w:jc w:val="left"/>
    </w:pPr>
    <w:rPr>
      <w:rFonts w:eastAsia="宋体" w:cs="Times New Roman"/>
      <w:sz w:val="21"/>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2 字符"/>
    <w:basedOn w:val="5"/>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2021-01-15T01:43:53Z</dcterms:created>
  <dc:creator>啊哈啊哈啊哈哈</dc:creator>
  <cp:lastModifiedBy>wumin</cp:lastModifiedBy>
  <dcterms:modified xsi:type="dcterms:W3CDTF">2021-01-15T01:44:13Z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