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仿宋" w:hAnsi="仿宋" w:eastAsia="仿宋" w:cs="仿宋"/>
          <w:b/>
          <w:bCs/>
          <w:sz w:val="36"/>
          <w:szCs w:val="36"/>
          <w:lang w:eastAsia="zh-CN"/>
        </w:rPr>
      </w:pPr>
      <w:r>
        <w:rPr>
          <w:rFonts w:hint="eastAsia" w:ascii="仿宋" w:hAnsi="仿宋" w:eastAsia="仿宋" w:cs="仿宋"/>
          <w:b/>
          <w:bCs/>
          <w:sz w:val="36"/>
          <w:szCs w:val="36"/>
        </w:rPr>
        <w:t>南京中医药大学关于研究生申请</w:t>
      </w:r>
      <w:r>
        <w:rPr>
          <w:rFonts w:hint="eastAsia" w:ascii="仿宋" w:hAnsi="仿宋" w:eastAsia="仿宋" w:cs="仿宋"/>
          <w:b/>
          <w:bCs/>
          <w:sz w:val="36"/>
          <w:szCs w:val="36"/>
          <w:lang w:eastAsia="zh-CN"/>
        </w:rPr>
        <w:t>奖、助学金</w:t>
      </w:r>
    </w:p>
    <w:p>
      <w:pPr>
        <w:ind w:firstLine="723" w:firstLineChars="200"/>
        <w:jc w:val="center"/>
        <w:rPr>
          <w:rFonts w:hint="eastAsia" w:ascii="仿宋" w:hAnsi="仿宋" w:eastAsia="仿宋" w:cs="仿宋"/>
          <w:b w:val="0"/>
          <w:bCs w:val="0"/>
          <w:sz w:val="36"/>
          <w:szCs w:val="36"/>
        </w:rPr>
      </w:pPr>
      <w:r>
        <w:rPr>
          <w:rFonts w:hint="eastAsia" w:ascii="仿宋" w:hAnsi="仿宋" w:eastAsia="仿宋" w:cs="仿宋"/>
          <w:b/>
          <w:bCs/>
          <w:sz w:val="36"/>
          <w:szCs w:val="36"/>
        </w:rPr>
        <w:t>科研成果（论文）认定办法</w:t>
      </w:r>
    </w:p>
    <w:p>
      <w:pPr>
        <w:ind w:firstLine="560" w:firstLineChars="200"/>
        <w:jc w:val="left"/>
        <w:rPr>
          <w:rFonts w:hint="eastAsia" w:ascii="仿宋" w:hAnsi="仿宋" w:eastAsia="仿宋" w:cs="仿宋"/>
          <w:sz w:val="28"/>
          <w:szCs w:val="36"/>
        </w:rPr>
      </w:pPr>
      <w:r>
        <w:rPr>
          <w:rFonts w:hint="eastAsia" w:ascii="仿宋" w:hAnsi="仿宋" w:eastAsia="仿宋" w:cs="仿宋"/>
          <w:sz w:val="28"/>
          <w:szCs w:val="36"/>
        </w:rPr>
        <w:t>为适应研究生教育的新要求，激发研究生的科研创新能力，提高</w:t>
      </w:r>
      <w:r>
        <w:rPr>
          <w:rFonts w:hint="eastAsia" w:ascii="仿宋" w:hAnsi="仿宋" w:eastAsia="仿宋" w:cs="仿宋"/>
          <w:sz w:val="28"/>
          <w:szCs w:val="36"/>
          <w:lang w:eastAsia="zh-CN"/>
        </w:rPr>
        <w:t>研究生培养</w:t>
      </w:r>
      <w:r>
        <w:rPr>
          <w:rFonts w:hint="eastAsia" w:ascii="仿宋" w:hAnsi="仿宋" w:eastAsia="仿宋" w:cs="仿宋"/>
          <w:sz w:val="28"/>
          <w:szCs w:val="36"/>
        </w:rPr>
        <w:t>质量，特制订本</w:t>
      </w:r>
      <w:r>
        <w:rPr>
          <w:rFonts w:hint="eastAsia" w:ascii="仿宋" w:hAnsi="仿宋" w:eastAsia="仿宋" w:cs="仿宋"/>
          <w:sz w:val="28"/>
          <w:szCs w:val="36"/>
          <w:lang w:eastAsia="zh-CN"/>
        </w:rPr>
        <w:t>办法</w:t>
      </w:r>
      <w:bookmarkStart w:id="0" w:name="_GoBack"/>
      <w:bookmarkEnd w:id="0"/>
      <w:r>
        <w:rPr>
          <w:rFonts w:hint="eastAsia" w:ascii="仿宋" w:hAnsi="仿宋" w:eastAsia="仿宋" w:cs="仿宋"/>
          <w:sz w:val="28"/>
          <w:szCs w:val="36"/>
        </w:rPr>
        <w:t>。本办法认定的学术论文是在国家机构正式认定的国内</w:t>
      </w:r>
      <w:r>
        <w:rPr>
          <w:rFonts w:hint="eastAsia" w:ascii="仿宋" w:hAnsi="仿宋" w:eastAsia="仿宋" w:cs="仿宋"/>
          <w:sz w:val="28"/>
          <w:szCs w:val="36"/>
          <w:lang w:eastAsia="zh-CN"/>
        </w:rPr>
        <w:t>、</w:t>
      </w:r>
      <w:r>
        <w:rPr>
          <w:rFonts w:hint="eastAsia" w:ascii="仿宋" w:hAnsi="仿宋" w:eastAsia="仿宋" w:cs="仿宋"/>
          <w:sz w:val="28"/>
          <w:szCs w:val="36"/>
        </w:rPr>
        <w:t>外正规期刊上公开发表，旨在阐述作者学术观点、调查研究成果的学术文章。论文分为国内学术刊物论文、国外学术刊物论文。具体要求如下：</w:t>
      </w:r>
    </w:p>
    <w:p>
      <w:pPr>
        <w:pStyle w:val="6"/>
        <w:ind w:firstLine="560"/>
        <w:jc w:val="left"/>
        <w:rPr>
          <w:rFonts w:hint="eastAsia" w:ascii="仿宋" w:hAnsi="仿宋" w:eastAsia="仿宋" w:cs="仿宋"/>
          <w:sz w:val="28"/>
          <w:szCs w:val="36"/>
        </w:rPr>
      </w:pPr>
      <w:r>
        <w:rPr>
          <w:rFonts w:hint="eastAsia" w:ascii="仿宋" w:hAnsi="仿宋" w:eastAsia="仿宋" w:cs="仿宋"/>
          <w:sz w:val="28"/>
          <w:szCs w:val="36"/>
        </w:rPr>
        <w:t>1.在国内</w:t>
      </w:r>
      <w:r>
        <w:rPr>
          <w:rFonts w:hint="eastAsia" w:ascii="仿宋" w:hAnsi="仿宋" w:eastAsia="仿宋" w:cs="仿宋"/>
          <w:sz w:val="28"/>
          <w:szCs w:val="36"/>
          <w:lang w:eastAsia="zh-CN"/>
        </w:rPr>
        <w:t>、</w:t>
      </w:r>
      <w:r>
        <w:rPr>
          <w:rFonts w:hint="eastAsia" w:ascii="仿宋" w:hAnsi="仿宋" w:eastAsia="仿宋" w:cs="仿宋"/>
          <w:sz w:val="28"/>
          <w:szCs w:val="36"/>
        </w:rPr>
        <w:t>外公开发行的学术期刊上发表学术论文，或在国内</w:t>
      </w:r>
      <w:r>
        <w:rPr>
          <w:rFonts w:hint="eastAsia" w:ascii="仿宋" w:hAnsi="仿宋" w:eastAsia="仿宋" w:cs="仿宋"/>
          <w:sz w:val="28"/>
          <w:szCs w:val="36"/>
          <w:lang w:eastAsia="zh-CN"/>
        </w:rPr>
        <w:t>、</w:t>
      </w:r>
      <w:r>
        <w:rPr>
          <w:rFonts w:hint="eastAsia" w:ascii="仿宋" w:hAnsi="仿宋" w:eastAsia="仿宋" w:cs="仿宋"/>
          <w:sz w:val="28"/>
          <w:szCs w:val="36"/>
        </w:rPr>
        <w:t>外正式出版的论文集中发表的论文，正式学术刊物必须要有国家出版机构正式认定的国际标准连续出版物变号（ISSN）。其中，国外学术论文需被正规权威机构数据库收录。</w:t>
      </w:r>
    </w:p>
    <w:p>
      <w:pPr>
        <w:pStyle w:val="6"/>
        <w:ind w:firstLine="560"/>
        <w:jc w:val="left"/>
        <w:rPr>
          <w:rFonts w:hint="eastAsia" w:ascii="仿宋" w:hAnsi="仿宋" w:eastAsia="仿宋" w:cs="仿宋"/>
          <w:sz w:val="28"/>
          <w:szCs w:val="36"/>
        </w:rPr>
      </w:pPr>
      <w:r>
        <w:rPr>
          <w:rFonts w:hint="eastAsia" w:ascii="仿宋" w:hAnsi="仿宋" w:eastAsia="仿宋" w:cs="仿宋"/>
          <w:sz w:val="28"/>
          <w:szCs w:val="36"/>
        </w:rPr>
        <w:t>2.国内论文以第一作者作为认定依据，国外论文以第一作者（SCI含共同第一作者）作为认定依据，其余作者名次均不能作为认定依据。</w:t>
      </w:r>
    </w:p>
    <w:p>
      <w:pPr>
        <w:pStyle w:val="6"/>
        <w:ind w:firstLine="560"/>
        <w:jc w:val="left"/>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国内论文以纸质见刊为准，需要在知网、万方、维普等权威数据库中检索到；国外论文以</w:t>
      </w:r>
      <w:r>
        <w:rPr>
          <w:rFonts w:hint="eastAsia" w:ascii="仿宋" w:hAnsi="仿宋" w:eastAsia="仿宋" w:cs="仿宋"/>
          <w:sz w:val="28"/>
          <w:szCs w:val="36"/>
          <w:lang w:eastAsia="zh-CN"/>
        </w:rPr>
        <w:t>正式发表</w:t>
      </w:r>
      <w:r>
        <w:rPr>
          <w:rFonts w:hint="eastAsia" w:ascii="仿宋" w:hAnsi="仿宋" w:eastAsia="仿宋" w:cs="仿宋"/>
          <w:sz w:val="28"/>
          <w:szCs w:val="36"/>
        </w:rPr>
        <w:t>为准，需在</w:t>
      </w:r>
      <w:r>
        <w:rPr>
          <w:rFonts w:hint="eastAsia" w:ascii="仿宋" w:hAnsi="仿宋" w:eastAsia="仿宋" w:cs="仿宋"/>
          <w:sz w:val="28"/>
          <w:szCs w:val="36"/>
          <w:lang w:val="en-US" w:eastAsia="zh-CN"/>
        </w:rPr>
        <w:t>W</w:t>
      </w:r>
      <w:r>
        <w:rPr>
          <w:rFonts w:hint="eastAsia" w:ascii="仿宋" w:hAnsi="仿宋" w:eastAsia="仿宋" w:cs="仿宋"/>
          <w:sz w:val="28"/>
          <w:szCs w:val="36"/>
        </w:rPr>
        <w:t xml:space="preserve">eb of </w:t>
      </w:r>
      <w:r>
        <w:rPr>
          <w:rFonts w:hint="eastAsia" w:ascii="仿宋" w:hAnsi="仿宋" w:eastAsia="仿宋" w:cs="仿宋"/>
          <w:sz w:val="28"/>
          <w:szCs w:val="36"/>
          <w:lang w:val="en-US" w:eastAsia="zh-CN"/>
        </w:rPr>
        <w:t>S</w:t>
      </w:r>
      <w:r>
        <w:rPr>
          <w:rFonts w:hint="eastAsia" w:ascii="仿宋" w:hAnsi="仿宋" w:eastAsia="仿宋" w:cs="仿宋"/>
          <w:sz w:val="28"/>
          <w:szCs w:val="36"/>
        </w:rPr>
        <w:t>cinece</w:t>
      </w:r>
      <w:r>
        <w:rPr>
          <w:rFonts w:hint="eastAsia" w:ascii="仿宋" w:hAnsi="仿宋" w:eastAsia="仿宋" w:cs="仿宋"/>
          <w:sz w:val="28"/>
          <w:szCs w:val="36"/>
          <w:lang w:eastAsia="zh-CN"/>
        </w:rPr>
        <w:t>、</w:t>
      </w:r>
      <w:r>
        <w:rPr>
          <w:rFonts w:hint="eastAsia" w:ascii="仿宋" w:hAnsi="仿宋" w:eastAsia="仿宋" w:cs="仿宋"/>
          <w:sz w:val="28"/>
          <w:szCs w:val="36"/>
        </w:rPr>
        <w:t>Pubmed数据库中检索到。</w:t>
      </w:r>
    </w:p>
    <w:p>
      <w:pPr>
        <w:spacing w:line="360" w:lineRule="auto"/>
        <w:ind w:firstLine="560" w:firstLineChars="200"/>
        <w:rPr>
          <w:rFonts w:hint="eastAsia" w:ascii="仿宋" w:hAnsi="仿宋" w:eastAsia="仿宋" w:cs="仿宋"/>
          <w:sz w:val="28"/>
          <w:szCs w:val="36"/>
        </w:rPr>
      </w:pPr>
      <w:r>
        <w:rPr>
          <w:rFonts w:hint="eastAsia" w:ascii="仿宋" w:hAnsi="仿宋" w:eastAsia="仿宋" w:cs="仿宋"/>
          <w:sz w:val="28"/>
          <w:szCs w:val="36"/>
        </w:rPr>
        <w:t>网络首发、录用证明、接受邮件、校正版PDF或Proof、版面缴费发票、仅发表在杂志社所在网站等均不能作为认定依据。</w:t>
      </w:r>
    </w:p>
    <w:p>
      <w:pPr>
        <w:spacing w:line="240" w:lineRule="auto"/>
        <w:ind w:firstLine="560" w:firstLineChars="200"/>
        <w:jc w:val="left"/>
        <w:rPr>
          <w:rFonts w:hint="eastAsia" w:ascii="仿宋" w:hAnsi="仿宋" w:eastAsia="仿宋" w:cs="仿宋"/>
          <w:sz w:val="28"/>
          <w:szCs w:val="36"/>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Review（综述）、Protocol</w:t>
      </w:r>
      <w:r>
        <w:rPr>
          <w:rFonts w:hint="eastAsia" w:ascii="仿宋" w:hAnsi="仿宋" w:eastAsia="仿宋" w:cs="仿宋"/>
          <w:color w:val="auto"/>
          <w:sz w:val="28"/>
          <w:szCs w:val="28"/>
          <w:highlight w:val="none"/>
          <w:lang w:eastAsia="zh-CN"/>
        </w:rPr>
        <w:t>（方案）、评述、会议论文等</w:t>
      </w:r>
      <w:r>
        <w:rPr>
          <w:rFonts w:hint="eastAsia" w:ascii="仿宋" w:hAnsi="仿宋" w:eastAsia="仿宋" w:cs="仿宋"/>
          <w:color w:val="auto"/>
          <w:sz w:val="28"/>
          <w:szCs w:val="28"/>
          <w:highlight w:val="none"/>
        </w:rPr>
        <w:t>类型的文献均不纳入评奖。</w:t>
      </w:r>
    </w:p>
    <w:p>
      <w:pPr>
        <w:pStyle w:val="6"/>
        <w:ind w:firstLine="560"/>
        <w:jc w:val="left"/>
        <w:rPr>
          <w:rFonts w:hint="eastAsia"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.申请</w:t>
      </w:r>
      <w:r>
        <w:rPr>
          <w:rFonts w:hint="eastAsia" w:ascii="仿宋" w:hAnsi="仿宋" w:eastAsia="仿宋" w:cs="仿宋"/>
          <w:sz w:val="28"/>
          <w:szCs w:val="36"/>
          <w:lang w:eastAsia="zh-CN"/>
        </w:rPr>
        <w:t>奖、助学金</w:t>
      </w:r>
      <w:r>
        <w:rPr>
          <w:rFonts w:hint="eastAsia" w:ascii="仿宋" w:hAnsi="仿宋" w:eastAsia="仿宋" w:cs="仿宋"/>
          <w:sz w:val="28"/>
          <w:szCs w:val="36"/>
        </w:rPr>
        <w:t>科研成果的统计时限为攻读</w:t>
      </w:r>
      <w:r>
        <w:rPr>
          <w:rFonts w:hint="eastAsia" w:ascii="仿宋" w:hAnsi="仿宋" w:eastAsia="仿宋" w:cs="仿宋"/>
          <w:sz w:val="28"/>
          <w:szCs w:val="36"/>
          <w:lang w:eastAsia="zh-CN"/>
        </w:rPr>
        <w:t>硕士或博士相应培养阶段</w:t>
      </w:r>
      <w:r>
        <w:rPr>
          <w:rFonts w:hint="eastAsia" w:ascii="仿宋" w:hAnsi="仿宋" w:eastAsia="仿宋" w:cs="仿宋"/>
          <w:sz w:val="28"/>
          <w:szCs w:val="36"/>
        </w:rPr>
        <w:t>期间</w:t>
      </w:r>
      <w:r>
        <w:rPr>
          <w:rFonts w:hint="eastAsia" w:ascii="仿宋" w:hAnsi="仿宋" w:eastAsia="仿宋" w:cs="仿宋"/>
          <w:sz w:val="28"/>
          <w:szCs w:val="36"/>
          <w:lang w:eastAsia="zh-CN"/>
        </w:rPr>
        <w:t>发表或获得</w:t>
      </w:r>
      <w:r>
        <w:rPr>
          <w:rFonts w:hint="eastAsia" w:ascii="仿宋" w:hAnsi="仿宋" w:eastAsia="仿宋" w:cs="仿宋"/>
          <w:sz w:val="28"/>
          <w:szCs w:val="36"/>
        </w:rPr>
        <w:t>。</w:t>
      </w:r>
      <w:r>
        <w:rPr>
          <w:rFonts w:hint="eastAsia" w:ascii="仿宋" w:hAnsi="仿宋" w:eastAsia="仿宋" w:cs="仿宋"/>
          <w:sz w:val="28"/>
          <w:szCs w:val="36"/>
          <w:lang w:eastAsia="zh-CN"/>
        </w:rPr>
        <w:t>具体</w:t>
      </w:r>
      <w:r>
        <w:rPr>
          <w:rFonts w:hint="eastAsia" w:ascii="仿宋" w:hAnsi="仿宋" w:eastAsia="仿宋" w:cs="仿宋"/>
          <w:sz w:val="28"/>
          <w:szCs w:val="36"/>
        </w:rPr>
        <w:t>时间根据不同奖</w:t>
      </w:r>
      <w:r>
        <w:rPr>
          <w:rFonts w:hint="eastAsia" w:ascii="仿宋" w:hAnsi="仿宋" w:eastAsia="仿宋" w:cs="仿宋"/>
          <w:sz w:val="28"/>
          <w:szCs w:val="36"/>
          <w:lang w:eastAsia="zh-CN"/>
        </w:rPr>
        <w:t>、助</w:t>
      </w:r>
      <w:r>
        <w:rPr>
          <w:rFonts w:hint="eastAsia" w:ascii="仿宋" w:hAnsi="仿宋" w:eastAsia="仿宋" w:cs="仿宋"/>
          <w:sz w:val="28"/>
          <w:szCs w:val="36"/>
        </w:rPr>
        <w:t>学金</w:t>
      </w:r>
      <w:r>
        <w:rPr>
          <w:rFonts w:hint="eastAsia" w:ascii="仿宋" w:hAnsi="仿宋" w:eastAsia="仿宋" w:cs="仿宋"/>
          <w:sz w:val="28"/>
          <w:szCs w:val="36"/>
          <w:lang w:eastAsia="zh-CN"/>
        </w:rPr>
        <w:t>实际情况</w:t>
      </w:r>
      <w:r>
        <w:rPr>
          <w:rFonts w:hint="eastAsia" w:ascii="仿宋" w:hAnsi="仿宋" w:eastAsia="仿宋" w:cs="仿宋"/>
          <w:sz w:val="28"/>
          <w:szCs w:val="36"/>
        </w:rPr>
        <w:t>而定。</w:t>
      </w:r>
    </w:p>
    <w:p>
      <w:pPr>
        <w:numPr>
          <w:ilvl w:val="-1"/>
          <w:numId w:val="0"/>
        </w:numPr>
        <w:spacing w:line="360" w:lineRule="auto"/>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6.</w:t>
      </w:r>
      <w:r>
        <w:rPr>
          <w:rFonts w:hint="eastAsia" w:ascii="仿宋" w:hAnsi="仿宋" w:eastAsia="仿宋" w:cs="仿宋"/>
          <w:sz w:val="28"/>
          <w:szCs w:val="36"/>
        </w:rPr>
        <w:t>学术论文第一作者（SCI含共同第一作者）的通讯单位必须是：南京中医药大学或南京中医药大学某学院/附属医院/实验室。</w:t>
      </w:r>
    </w:p>
    <w:p>
      <w:pPr>
        <w:numPr>
          <w:ilvl w:val="-1"/>
          <w:numId w:val="0"/>
        </w:numPr>
        <w:spacing w:line="360"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7.</w:t>
      </w:r>
      <w:r>
        <w:rPr>
          <w:rFonts w:hint="eastAsia" w:ascii="仿宋" w:hAnsi="仿宋" w:eastAsia="仿宋" w:cs="仿宋"/>
          <w:sz w:val="28"/>
          <w:szCs w:val="36"/>
        </w:rPr>
        <w:t>本办法由党委研究生工作部负责解释。</w:t>
      </w:r>
    </w:p>
    <w:p>
      <w:pPr>
        <w:pStyle w:val="6"/>
        <w:ind w:firstLine="560"/>
        <w:jc w:val="left"/>
        <w:rPr>
          <w:rFonts w:hint="eastAsia" w:ascii="仿宋" w:hAnsi="仿宋" w:eastAsia="仿宋" w:cs="仿宋"/>
          <w:sz w:val="28"/>
          <w:szCs w:val="36"/>
        </w:rPr>
      </w:pPr>
    </w:p>
    <w:p>
      <w:pPr>
        <w:pStyle w:val="6"/>
        <w:ind w:firstLine="560"/>
        <w:jc w:val="left"/>
        <w:rPr>
          <w:rFonts w:hint="eastAsia" w:ascii="仿宋" w:hAnsi="仿宋" w:eastAsia="仿宋" w:cs="仿宋"/>
          <w:sz w:val="28"/>
          <w:szCs w:val="36"/>
          <w:highlight w:val="none"/>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jc w:val="left"/>
        <w:rPr>
          <w:rFonts w:hint="default" w:ascii="仿宋" w:hAnsi="仿宋" w:eastAsia="仿宋" w:cs="仿宋"/>
          <w:sz w:val="28"/>
          <w:szCs w:val="28"/>
          <w:lang w:val="en-US" w:eastAsia="zh-CN"/>
        </w:rPr>
      </w:pPr>
    </w:p>
    <w:p>
      <w:pPr>
        <w:numPr>
          <w:ilvl w:val="0"/>
          <w:numId w:val="0"/>
        </w:numPr>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ZWM5NDY2NmQ1Y2JlMmQ4ZjY5MzI1ZmQxMTNkMDIifQ=="/>
  </w:docVars>
  <w:rsids>
    <w:rsidRoot w:val="7BEF976D"/>
    <w:rsid w:val="1D3B4D96"/>
    <w:rsid w:val="2F360CA2"/>
    <w:rsid w:val="30CF5E7F"/>
    <w:rsid w:val="382A0115"/>
    <w:rsid w:val="43EE57E8"/>
    <w:rsid w:val="62F721B6"/>
    <w:rsid w:val="662E1657"/>
    <w:rsid w:val="713F3F4C"/>
    <w:rsid w:val="77FB4FC6"/>
    <w:rsid w:val="7BEF976D"/>
    <w:rsid w:val="7E8349A5"/>
    <w:rsid w:val="CE3BC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paragraph" w:styleId="6">
    <w:name w:val="List Paragraph"/>
    <w:basedOn w:val="1"/>
    <w:qFormat/>
    <w:uiPriority w:val="34"/>
    <w:pPr>
      <w:ind w:firstLine="420" w:firstLineChars="200"/>
    </w:pPr>
  </w:style>
  <w:style w:type="character" w:customStyle="1" w:styleId="7">
    <w:name w:val="fontstyle01"/>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605</Words>
  <Characters>652</Characters>
  <Lines>0</Lines>
  <Paragraphs>0</Paragraphs>
  <TotalTime>15</TotalTime>
  <ScaleCrop>false</ScaleCrop>
  <LinksUpToDate>false</LinksUpToDate>
  <CharactersWithSpaces>654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2021-03-25T14:12:00Z</dcterms:created>
  <dc:creator>wangyunfan</dc:creator>
  <cp:lastModifiedBy>荡荡北北</cp:lastModifiedBy>
  <cp:lastPrinted>2021-03-26T08:53:00Z</cp:lastPrinted>
  <dcterms:modified xsi:type="dcterms:W3CDTF">2022-05-09T08:35:44Z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AFD8C5568DA94610B47275C28A7613DB</vt:lpwstr>
  </property>
</Properties>
</file>