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2DB" w:rsidRDefault="0046586C">
      <w:pPr>
        <w:widowControl/>
        <w:jc w:val="left"/>
        <w:rPr>
          <w:rFonts w:ascii="Times New Roman" w:eastAsia="方正黑体_GBK" w:hAnsi="Times New Roman" w:cs="Times New Roman"/>
          <w:b/>
          <w:sz w:val="30"/>
          <w:szCs w:val="30"/>
        </w:rPr>
      </w:pPr>
      <w:bookmarkStart w:id="0" w:name="_GoBack"/>
      <w:bookmarkEnd w:id="0"/>
      <w:r>
        <w:rPr>
          <w:rFonts w:ascii="Times New Roman" w:eastAsia="方正黑体_GBK" w:hAnsi="Times New Roman" w:cs="Times New Roman"/>
          <w:b/>
          <w:color w:val="000000" w:themeColor="text1"/>
          <w:sz w:val="30"/>
          <w:szCs w:val="30"/>
        </w:rPr>
        <w:t>附件</w:t>
      </w:r>
      <w:r>
        <w:rPr>
          <w:rFonts w:ascii="Times New Roman" w:eastAsia="方正黑体_GBK" w:hAnsi="Times New Roman" w:cs="Times New Roman" w:hint="eastAsia"/>
          <w:b/>
          <w:color w:val="000000" w:themeColor="text1"/>
          <w:sz w:val="30"/>
          <w:szCs w:val="30"/>
        </w:rPr>
        <w:t>1</w:t>
      </w:r>
    </w:p>
    <w:p w:rsidR="00C652DB" w:rsidRDefault="0046586C">
      <w:pPr>
        <w:spacing w:line="600" w:lineRule="exact"/>
        <w:jc w:val="center"/>
        <w:rPr>
          <w:rFonts w:ascii="方正黑体_GBK" w:eastAsia="方正黑体_GBK" w:hAnsi="方正黑体_GBK" w:cs="方正黑体_GBK"/>
          <w:b/>
          <w:color w:val="000000" w:themeColor="text1"/>
          <w:sz w:val="36"/>
          <w:szCs w:val="36"/>
        </w:rPr>
      </w:pPr>
      <w:r>
        <w:rPr>
          <w:rFonts w:ascii="方正黑体_GBK" w:eastAsia="方正黑体_GBK" w:hAnsi="方正黑体_GBK" w:cs="方正黑体_GBK" w:hint="eastAsia"/>
          <w:b/>
          <w:color w:val="000000" w:themeColor="text1"/>
          <w:sz w:val="36"/>
          <w:szCs w:val="36"/>
        </w:rPr>
        <w:t>团支部学习党的十九届五中全会精神</w:t>
      </w:r>
      <w:r>
        <w:rPr>
          <w:rFonts w:ascii="方正黑体_GBK" w:eastAsia="方正黑体_GBK" w:hAnsi="方正黑体_GBK" w:cs="方正黑体_GBK" w:hint="eastAsia"/>
          <w:b/>
          <w:sz w:val="36"/>
          <w:szCs w:val="36"/>
        </w:rPr>
        <w:t>情况一览表</w:t>
      </w:r>
    </w:p>
    <w:p w:rsidR="00C652DB" w:rsidRDefault="00C652DB">
      <w:pPr>
        <w:jc w:val="left"/>
        <w:rPr>
          <w:rFonts w:ascii="Times New Roman" w:eastAsia="方正小标宋_GBK" w:hAnsi="Times New Roman" w:cs="Times New Roman"/>
          <w:b/>
          <w:sz w:val="44"/>
          <w:szCs w:val="44"/>
        </w:rPr>
      </w:pPr>
    </w:p>
    <w:p w:rsidR="00C652DB" w:rsidRDefault="0046586C" w:rsidP="00B25430">
      <w:pPr>
        <w:wordWrap w:val="0"/>
        <w:ind w:firstLineChars="200" w:firstLine="600"/>
        <w:rPr>
          <w:rFonts w:ascii="Times New Roman" w:eastAsia="方正黑体_GBK" w:hAnsi="Times New Roman" w:cs="Times New Roman"/>
          <w:b/>
          <w:sz w:val="30"/>
          <w:szCs w:val="30"/>
        </w:rPr>
      </w:pPr>
      <w:r>
        <w:rPr>
          <w:rFonts w:ascii="Times New Roman" w:eastAsia="方正黑体_GBK" w:hAnsi="Times New Roman" w:cs="Times New Roman"/>
          <w:b/>
          <w:sz w:val="30"/>
          <w:szCs w:val="30"/>
        </w:rPr>
        <w:t>填报</w:t>
      </w:r>
      <w:r>
        <w:rPr>
          <w:rFonts w:ascii="Times New Roman" w:eastAsia="方正黑体_GBK" w:hAnsi="Times New Roman" w:cs="Times New Roman" w:hint="eastAsia"/>
          <w:b/>
          <w:sz w:val="30"/>
          <w:szCs w:val="30"/>
        </w:rPr>
        <w:t>单位</w:t>
      </w:r>
      <w:r>
        <w:rPr>
          <w:rFonts w:ascii="Times New Roman" w:eastAsia="方正黑体_GBK" w:hAnsi="Times New Roman" w:cs="Times New Roman"/>
          <w:b/>
          <w:sz w:val="30"/>
          <w:szCs w:val="30"/>
        </w:rPr>
        <w:t>（盖章）：</w:t>
      </w:r>
      <w:r>
        <w:rPr>
          <w:rFonts w:ascii="Times New Roman" w:eastAsia="方正黑体_GBK" w:hAnsi="Times New Roman" w:cs="Times New Roman"/>
          <w:b/>
          <w:sz w:val="30"/>
          <w:szCs w:val="30"/>
        </w:rPr>
        <w:t xml:space="preserve">      </w:t>
      </w:r>
      <w:r>
        <w:rPr>
          <w:rFonts w:ascii="Times New Roman" w:eastAsia="方正黑体_GBK" w:hAnsi="Times New Roman" w:cs="Times New Roman" w:hint="eastAsia"/>
          <w:b/>
          <w:sz w:val="30"/>
          <w:szCs w:val="30"/>
        </w:rPr>
        <w:t xml:space="preserve"> </w:t>
      </w:r>
      <w:r>
        <w:rPr>
          <w:rFonts w:ascii="Times New Roman" w:eastAsia="方正黑体_GBK" w:hAnsi="Times New Roman" w:cs="Times New Roman"/>
          <w:b/>
          <w:sz w:val="30"/>
          <w:szCs w:val="30"/>
        </w:rPr>
        <w:t xml:space="preserve"> </w:t>
      </w:r>
    </w:p>
    <w:tbl>
      <w:tblPr>
        <w:tblStyle w:val="aa"/>
        <w:tblW w:w="12315" w:type="dxa"/>
        <w:jc w:val="center"/>
        <w:tblLayout w:type="fixed"/>
        <w:tblLook w:val="04A0" w:firstRow="1" w:lastRow="0" w:firstColumn="1" w:lastColumn="0" w:noHBand="0" w:noVBand="1"/>
      </w:tblPr>
      <w:tblGrid>
        <w:gridCol w:w="1767"/>
        <w:gridCol w:w="2028"/>
        <w:gridCol w:w="1995"/>
        <w:gridCol w:w="6525"/>
      </w:tblGrid>
      <w:tr w:rsidR="00C652DB">
        <w:trPr>
          <w:trHeight w:val="528"/>
          <w:jc w:val="center"/>
        </w:trPr>
        <w:tc>
          <w:tcPr>
            <w:tcW w:w="1767" w:type="dxa"/>
            <w:vAlign w:val="center"/>
          </w:tcPr>
          <w:p w:rsidR="00C652DB" w:rsidRDefault="0046586C">
            <w:pPr>
              <w:spacing w:line="400" w:lineRule="exact"/>
              <w:jc w:val="center"/>
              <w:rPr>
                <w:rFonts w:ascii="方正黑体_GBK" w:eastAsia="方正黑体_GBK" w:hAnsi="方正黑体_GBK" w:cs="方正黑体_GBK"/>
                <w:sz w:val="24"/>
                <w:szCs w:val="32"/>
              </w:rPr>
            </w:pPr>
            <w:r>
              <w:rPr>
                <w:rFonts w:ascii="方正黑体_GBK" w:eastAsia="方正黑体_GBK" w:hAnsi="方正黑体_GBK" w:cs="方正黑体_GBK" w:hint="eastAsia"/>
                <w:sz w:val="24"/>
                <w:szCs w:val="32"/>
              </w:rPr>
              <w:t>单位名称</w:t>
            </w:r>
          </w:p>
        </w:tc>
        <w:tc>
          <w:tcPr>
            <w:tcW w:w="2028" w:type="dxa"/>
            <w:vAlign w:val="center"/>
          </w:tcPr>
          <w:p w:rsidR="00C652DB" w:rsidRDefault="0046586C">
            <w:pPr>
              <w:spacing w:line="400" w:lineRule="exact"/>
              <w:jc w:val="center"/>
              <w:rPr>
                <w:rFonts w:ascii="方正黑体_GBK" w:eastAsia="方正黑体_GBK" w:hAnsi="方正黑体_GBK" w:cs="方正黑体_GBK"/>
                <w:sz w:val="24"/>
                <w:szCs w:val="32"/>
              </w:rPr>
            </w:pPr>
            <w:r>
              <w:rPr>
                <w:rFonts w:ascii="方正黑体_GBK" w:eastAsia="方正黑体_GBK" w:hAnsi="方正黑体_GBK" w:cs="方正黑体_GBK" w:hint="eastAsia"/>
                <w:sz w:val="24"/>
                <w:szCs w:val="32"/>
              </w:rPr>
              <w:t>本单位开展学习活动支部总数</w:t>
            </w:r>
          </w:p>
        </w:tc>
        <w:tc>
          <w:tcPr>
            <w:tcW w:w="1995" w:type="dxa"/>
            <w:vAlign w:val="center"/>
          </w:tcPr>
          <w:p w:rsidR="00C652DB" w:rsidRDefault="0046586C">
            <w:pPr>
              <w:spacing w:line="400" w:lineRule="exact"/>
              <w:jc w:val="center"/>
              <w:rPr>
                <w:rFonts w:ascii="方正黑体_GBK" w:eastAsia="方正黑体_GBK" w:hAnsi="方正黑体_GBK" w:cs="方正黑体_GBK"/>
                <w:sz w:val="24"/>
                <w:szCs w:val="32"/>
              </w:rPr>
            </w:pPr>
            <w:r>
              <w:rPr>
                <w:rFonts w:ascii="方正黑体_GBK" w:eastAsia="方正黑体_GBK" w:hAnsi="方正黑体_GBK" w:cs="方正黑体_GBK" w:hint="eastAsia"/>
                <w:sz w:val="24"/>
                <w:szCs w:val="32"/>
              </w:rPr>
              <w:t>本单位参与学习团员总人数</w:t>
            </w:r>
          </w:p>
        </w:tc>
        <w:tc>
          <w:tcPr>
            <w:tcW w:w="6525" w:type="dxa"/>
            <w:vAlign w:val="center"/>
          </w:tcPr>
          <w:p w:rsidR="00C652DB" w:rsidRDefault="0046586C">
            <w:pPr>
              <w:tabs>
                <w:tab w:val="left" w:pos="2607"/>
              </w:tabs>
              <w:spacing w:line="400" w:lineRule="exact"/>
              <w:jc w:val="center"/>
              <w:rPr>
                <w:rFonts w:ascii="方正黑体_GBK" w:eastAsia="方正黑体_GBK" w:hAnsi="方正黑体_GBK" w:cs="方正黑体_GBK"/>
                <w:sz w:val="24"/>
                <w:szCs w:val="32"/>
              </w:rPr>
            </w:pPr>
            <w:r>
              <w:rPr>
                <w:rFonts w:ascii="方正黑体_GBK" w:eastAsia="方正黑体_GBK" w:hAnsi="方正黑体_GBK" w:cs="方正黑体_GBK" w:hint="eastAsia"/>
                <w:sz w:val="24"/>
                <w:szCs w:val="32"/>
              </w:rPr>
              <w:t>开展学习情况总结（含部署情况、特色做法等，500字以内）</w:t>
            </w:r>
          </w:p>
        </w:tc>
      </w:tr>
      <w:tr w:rsidR="00C652DB">
        <w:trPr>
          <w:trHeight w:val="3596"/>
          <w:jc w:val="center"/>
        </w:trPr>
        <w:tc>
          <w:tcPr>
            <w:tcW w:w="1767" w:type="dxa"/>
            <w:vAlign w:val="center"/>
          </w:tcPr>
          <w:p w:rsidR="00C652DB" w:rsidRDefault="00C652DB">
            <w:pPr>
              <w:spacing w:line="480" w:lineRule="exact"/>
              <w:jc w:val="center"/>
              <w:rPr>
                <w:rFonts w:ascii="Times New Roman" w:eastAsia="方正小标宋_GBK" w:hAnsi="Times New Roman" w:cs="Times New Roman"/>
                <w:b/>
                <w:sz w:val="24"/>
                <w:szCs w:val="44"/>
              </w:rPr>
            </w:pPr>
          </w:p>
        </w:tc>
        <w:tc>
          <w:tcPr>
            <w:tcW w:w="2028" w:type="dxa"/>
            <w:vAlign w:val="center"/>
          </w:tcPr>
          <w:p w:rsidR="00C652DB" w:rsidRDefault="00C652DB">
            <w:pPr>
              <w:spacing w:line="480" w:lineRule="exact"/>
              <w:jc w:val="center"/>
              <w:rPr>
                <w:rFonts w:ascii="Times New Roman" w:eastAsia="方正小标宋_GBK" w:hAnsi="Times New Roman" w:cs="Times New Roman"/>
                <w:b/>
                <w:sz w:val="24"/>
                <w:szCs w:val="44"/>
              </w:rPr>
            </w:pPr>
          </w:p>
        </w:tc>
        <w:tc>
          <w:tcPr>
            <w:tcW w:w="1995" w:type="dxa"/>
            <w:vAlign w:val="center"/>
          </w:tcPr>
          <w:p w:rsidR="00C652DB" w:rsidRDefault="00C652DB">
            <w:pPr>
              <w:spacing w:line="480" w:lineRule="exact"/>
              <w:jc w:val="center"/>
              <w:rPr>
                <w:rFonts w:ascii="Times New Roman" w:eastAsia="方正小标宋_GBK" w:hAnsi="Times New Roman" w:cs="Times New Roman"/>
                <w:b/>
                <w:sz w:val="24"/>
                <w:szCs w:val="44"/>
              </w:rPr>
            </w:pPr>
          </w:p>
        </w:tc>
        <w:tc>
          <w:tcPr>
            <w:tcW w:w="6525" w:type="dxa"/>
            <w:vAlign w:val="center"/>
          </w:tcPr>
          <w:p w:rsidR="00C652DB" w:rsidRDefault="00C652DB">
            <w:pPr>
              <w:spacing w:line="480" w:lineRule="exact"/>
              <w:jc w:val="center"/>
              <w:rPr>
                <w:rFonts w:ascii="Times New Roman" w:eastAsia="方正小标宋_GBK" w:hAnsi="Times New Roman" w:cs="Times New Roman"/>
                <w:b/>
                <w:sz w:val="24"/>
                <w:szCs w:val="44"/>
              </w:rPr>
            </w:pPr>
          </w:p>
        </w:tc>
      </w:tr>
    </w:tbl>
    <w:p w:rsidR="00C652DB" w:rsidRDefault="00C652DB">
      <w:pPr>
        <w:pStyle w:val="2"/>
        <w:snapToGrid w:val="0"/>
        <w:spacing w:line="520" w:lineRule="exact"/>
        <w:ind w:firstLineChars="0" w:firstLine="0"/>
        <w:jc w:val="left"/>
        <w:rPr>
          <w:rFonts w:ascii="Times New Roman" w:eastAsia="方正小标宋_GBK" w:hAnsi="Times New Roman" w:cs="Times New Roman"/>
          <w:bCs/>
          <w:sz w:val="30"/>
          <w:szCs w:val="30"/>
        </w:rPr>
        <w:sectPr w:rsidR="00C652DB">
          <w:footerReference w:type="default" r:id="rId9"/>
          <w:pgSz w:w="16838" w:h="11906" w:orient="landscape"/>
          <w:pgMar w:top="1588" w:right="2041" w:bottom="1588" w:left="2041" w:header="851" w:footer="992" w:gutter="0"/>
          <w:cols w:space="425"/>
          <w:docGrid w:type="lines" w:linePitch="312"/>
        </w:sectPr>
      </w:pPr>
    </w:p>
    <w:p w:rsidR="00C652DB" w:rsidRDefault="0046586C">
      <w:pPr>
        <w:pStyle w:val="2"/>
        <w:snapToGrid w:val="0"/>
        <w:spacing w:line="520" w:lineRule="exact"/>
        <w:ind w:firstLineChars="0" w:firstLine="0"/>
        <w:jc w:val="left"/>
        <w:rPr>
          <w:rFonts w:ascii="Times New Roman" w:eastAsia="方正小标宋_GBK" w:hAnsi="Times New Roman" w:cs="Times New Roman"/>
          <w:bCs/>
          <w:sz w:val="30"/>
          <w:szCs w:val="30"/>
        </w:rPr>
      </w:pPr>
      <w:r>
        <w:rPr>
          <w:rFonts w:ascii="Times New Roman" w:eastAsia="方正小标宋_GBK" w:hAnsi="Times New Roman" w:cs="Times New Roman"/>
          <w:bCs/>
          <w:sz w:val="30"/>
          <w:szCs w:val="30"/>
        </w:rPr>
        <w:lastRenderedPageBreak/>
        <w:t>附件</w:t>
      </w:r>
      <w:r>
        <w:rPr>
          <w:rFonts w:ascii="Times New Roman" w:eastAsia="方正小标宋_GBK" w:hAnsi="Times New Roman" w:cs="Times New Roman" w:hint="eastAsia"/>
          <w:bCs/>
          <w:sz w:val="30"/>
          <w:szCs w:val="30"/>
        </w:rPr>
        <w:t>2</w:t>
      </w:r>
    </w:p>
    <w:p w:rsidR="00C652DB" w:rsidRDefault="0046586C">
      <w:pPr>
        <w:pStyle w:val="2"/>
        <w:snapToGrid w:val="0"/>
        <w:spacing w:line="520" w:lineRule="exact"/>
        <w:ind w:firstLine="640"/>
        <w:jc w:val="center"/>
        <w:rPr>
          <w:rFonts w:ascii="方正小标宋_GBK" w:eastAsia="方正小标宋_GBK" w:hAnsi="方正小标宋_GBK" w:cs="方正小标宋_GBK"/>
          <w:bCs/>
          <w:szCs w:val="32"/>
        </w:rPr>
      </w:pPr>
      <w:r>
        <w:rPr>
          <w:rFonts w:ascii="方正小标宋_GBK" w:eastAsia="方正小标宋_GBK" w:hAnsi="方正小标宋_GBK" w:cs="方正小标宋_GBK" w:hint="eastAsia"/>
          <w:bCs/>
          <w:szCs w:val="32"/>
        </w:rPr>
        <w:t>中国共产党第十九届中央委员会第五次全体会议公报</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2020</w:t>
      </w:r>
      <w:r>
        <w:rPr>
          <w:rFonts w:ascii="Times New Roman" w:eastAsia="方正仿宋_GBK" w:hAnsi="Times New Roman" w:cs="Times New Roman"/>
          <w:bCs/>
          <w:sz w:val="30"/>
          <w:szCs w:val="30"/>
        </w:rPr>
        <w:t>年</w:t>
      </w:r>
      <w:r>
        <w:rPr>
          <w:rFonts w:ascii="Times New Roman" w:eastAsia="方正仿宋_GBK" w:hAnsi="Times New Roman" w:cs="Times New Roman"/>
          <w:bCs/>
          <w:sz w:val="30"/>
          <w:szCs w:val="30"/>
        </w:rPr>
        <w:t>10</w:t>
      </w:r>
      <w:r>
        <w:rPr>
          <w:rFonts w:ascii="Times New Roman" w:eastAsia="方正仿宋_GBK" w:hAnsi="Times New Roman" w:cs="Times New Roman"/>
          <w:bCs/>
          <w:sz w:val="30"/>
          <w:szCs w:val="30"/>
        </w:rPr>
        <w:t>月</w:t>
      </w:r>
      <w:r>
        <w:rPr>
          <w:rFonts w:ascii="Times New Roman" w:eastAsia="方正仿宋_GBK" w:hAnsi="Times New Roman" w:cs="Times New Roman"/>
          <w:bCs/>
          <w:sz w:val="30"/>
          <w:szCs w:val="30"/>
        </w:rPr>
        <w:t>29</w:t>
      </w:r>
      <w:r>
        <w:rPr>
          <w:rFonts w:ascii="Times New Roman" w:eastAsia="方正仿宋_GBK" w:hAnsi="Times New Roman" w:cs="Times New Roman"/>
          <w:bCs/>
          <w:sz w:val="30"/>
          <w:szCs w:val="30"/>
        </w:rPr>
        <w:t>日中国共产党第十九届中央委员会第五次全体会议通过）</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中国共产党第十九届中央委员会第五次全体会议，于</w:t>
      </w:r>
      <w:r>
        <w:rPr>
          <w:rFonts w:ascii="Times New Roman" w:eastAsia="方正仿宋_GBK" w:hAnsi="Times New Roman" w:cs="Times New Roman"/>
          <w:bCs/>
          <w:sz w:val="30"/>
          <w:szCs w:val="30"/>
        </w:rPr>
        <w:t>2020</w:t>
      </w:r>
      <w:r>
        <w:rPr>
          <w:rFonts w:ascii="Times New Roman" w:eastAsia="方正仿宋_GBK" w:hAnsi="Times New Roman" w:cs="Times New Roman"/>
          <w:bCs/>
          <w:sz w:val="30"/>
          <w:szCs w:val="30"/>
        </w:rPr>
        <w:t>年</w:t>
      </w:r>
      <w:r>
        <w:rPr>
          <w:rFonts w:ascii="Times New Roman" w:eastAsia="方正仿宋_GBK" w:hAnsi="Times New Roman" w:cs="Times New Roman"/>
          <w:bCs/>
          <w:sz w:val="30"/>
          <w:szCs w:val="30"/>
        </w:rPr>
        <w:t>10</w:t>
      </w:r>
      <w:r>
        <w:rPr>
          <w:rFonts w:ascii="Times New Roman" w:eastAsia="方正仿宋_GBK" w:hAnsi="Times New Roman" w:cs="Times New Roman"/>
          <w:bCs/>
          <w:sz w:val="30"/>
          <w:szCs w:val="30"/>
        </w:rPr>
        <w:t>月</w:t>
      </w:r>
      <w:r>
        <w:rPr>
          <w:rFonts w:ascii="Times New Roman" w:eastAsia="方正仿宋_GBK" w:hAnsi="Times New Roman" w:cs="Times New Roman"/>
          <w:bCs/>
          <w:sz w:val="30"/>
          <w:szCs w:val="30"/>
        </w:rPr>
        <w:t>26</w:t>
      </w:r>
      <w:r>
        <w:rPr>
          <w:rFonts w:ascii="Times New Roman" w:eastAsia="方正仿宋_GBK" w:hAnsi="Times New Roman" w:cs="Times New Roman"/>
          <w:bCs/>
          <w:sz w:val="30"/>
          <w:szCs w:val="30"/>
        </w:rPr>
        <w:t>日至</w:t>
      </w:r>
      <w:r>
        <w:rPr>
          <w:rFonts w:ascii="Times New Roman" w:eastAsia="方正仿宋_GBK" w:hAnsi="Times New Roman" w:cs="Times New Roman"/>
          <w:bCs/>
          <w:sz w:val="30"/>
          <w:szCs w:val="30"/>
        </w:rPr>
        <w:t>29</w:t>
      </w:r>
      <w:r>
        <w:rPr>
          <w:rFonts w:ascii="Times New Roman" w:eastAsia="方正仿宋_GBK" w:hAnsi="Times New Roman" w:cs="Times New Roman"/>
          <w:bCs/>
          <w:sz w:val="30"/>
          <w:szCs w:val="30"/>
        </w:rPr>
        <w:t>日在北京举行。</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出席这次全会的有，中央委员</w:t>
      </w:r>
      <w:r>
        <w:rPr>
          <w:rFonts w:ascii="Times New Roman" w:eastAsia="方正仿宋_GBK" w:hAnsi="Times New Roman" w:cs="Times New Roman"/>
          <w:bCs/>
          <w:sz w:val="30"/>
          <w:szCs w:val="30"/>
        </w:rPr>
        <w:t>198</w:t>
      </w:r>
      <w:r>
        <w:rPr>
          <w:rFonts w:ascii="Times New Roman" w:eastAsia="方正仿宋_GBK" w:hAnsi="Times New Roman" w:cs="Times New Roman"/>
          <w:bCs/>
          <w:sz w:val="30"/>
          <w:szCs w:val="30"/>
        </w:rPr>
        <w:t>人，候补中央委员</w:t>
      </w:r>
      <w:r>
        <w:rPr>
          <w:rFonts w:ascii="Times New Roman" w:eastAsia="方正仿宋_GBK" w:hAnsi="Times New Roman" w:cs="Times New Roman"/>
          <w:bCs/>
          <w:sz w:val="30"/>
          <w:szCs w:val="30"/>
        </w:rPr>
        <w:t>166</w:t>
      </w:r>
      <w:r>
        <w:rPr>
          <w:rFonts w:ascii="Times New Roman" w:eastAsia="方正仿宋_GBK" w:hAnsi="Times New Roman" w:cs="Times New Roman"/>
          <w:bCs/>
          <w:sz w:val="30"/>
          <w:szCs w:val="30"/>
        </w:rPr>
        <w:t>人。中央纪律检查委员会常务委员会委员和有关方面负责同志列席会议。党的十九大代表中的部分基层同志和专家学者也列席会议。</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全会由中央政治局主持。中央委员会总书记习近平作了重要讲话。</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全会听取和讨论了习近平受中央政治局委托作的工作报告，审议通过了《中共中央关于制定国民经济和社会发展第十四个五年规划和二〇三五年远景目标的建议》。习近平就《建议（讨论稿）》向全会作了说明。</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全会充分肯定党的十九届四中全会以来中央政治局的工作。一致认为，一年来，中央政治局高举中国特色社会主义伟大旗帜，坚持以马克思列宁主义、毛泽东思想、邓小平理论、</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三个代表</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重要思想、科学发展观、习近平新时代中国特色社会主义思想为指导，全面贯彻党的十九大和十九届二中、三中、四中全会精神，增强</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四个意识</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、坚定</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四个自信</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、做到</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两个维护</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，统筹推进</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五位一体</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总体布局，协调推进</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四个全面</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战略布局，坚持稳中求进工作总基调，坚持新发展理念，坚定不移推进改革开放，沉着有力应对各种风险挑战，统筹新冠肺炎疫情防控和经济社会发展工作，把人民生</w:t>
      </w:r>
      <w:r>
        <w:rPr>
          <w:rFonts w:ascii="Times New Roman" w:eastAsia="方正仿宋_GBK" w:hAnsi="Times New Roman" w:cs="Times New Roman"/>
          <w:bCs/>
          <w:sz w:val="30"/>
          <w:szCs w:val="30"/>
        </w:rPr>
        <w:lastRenderedPageBreak/>
        <w:t>命安全和身体健康放在第一位，把握扩大内需这个战略基点，深化供给侧结构性改革，加大宏观政策应对力度，扎实做好</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六稳</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工作、全面落实</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六保</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全会高度评价决胜全面建成小康社会取得的决定性成就。</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十三五</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时期，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一带一路</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成果丰硕；</w:t>
      </w:r>
      <w:r>
        <w:rPr>
          <w:rFonts w:ascii="Times New Roman" w:eastAsia="方正仿宋_GBK" w:hAnsi="Times New Roman" w:cs="Times New Roman"/>
          <w:bCs/>
          <w:sz w:val="30"/>
          <w:szCs w:val="30"/>
        </w:rPr>
        <w:lastRenderedPageBreak/>
        <w:t>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十三五</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规划目标任务即将完成，全面建成小康社会胜利在望，中华民族伟大复兴向前迈出了新的一大步，社会主义中国以更加雄伟的身姿屹立于世界东方。</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全会强调，全党全国各族人民要再接再厉、一鼓作气，确保如期打赢脱贫攻坚战，确保如期全面建成小康社会、实现第一个百年奋斗目标，为开启全面建设社会主义现代化国家新征程奠定坚实基础。</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w:t>
      </w:r>
      <w:r>
        <w:rPr>
          <w:rFonts w:ascii="Times New Roman" w:eastAsia="方正仿宋_GBK" w:hAnsi="Times New Roman" w:cs="Times New Roman"/>
          <w:bCs/>
          <w:sz w:val="30"/>
          <w:szCs w:val="30"/>
        </w:rPr>
        <w:lastRenderedPageBreak/>
        <w:t>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全会提出了</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十四五</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时期经济社会发展指导思想和必须遵循的</w:t>
      </w:r>
      <w:r>
        <w:rPr>
          <w:rFonts w:ascii="Times New Roman" w:eastAsia="方正仿宋_GBK" w:hAnsi="Times New Roman" w:cs="Times New Roman"/>
          <w:bCs/>
          <w:sz w:val="30"/>
          <w:szCs w:val="30"/>
        </w:rPr>
        <w:lastRenderedPageBreak/>
        <w:t>原则，强调要高举中国特色社会主义伟大旗帜，深入贯彻党的十九大和十九届二中、三中、四中、五中全会精神，坚持以马克思列宁主义、毛泽东思想、邓小平理论、</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三个代表</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全会提出了</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十四五</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w:t>
      </w:r>
      <w:r>
        <w:rPr>
          <w:rFonts w:ascii="Times New Roman" w:eastAsia="方正仿宋_GBK" w:hAnsi="Times New Roman" w:cs="Times New Roman"/>
          <w:bCs/>
          <w:sz w:val="30"/>
          <w:szCs w:val="30"/>
        </w:rPr>
        <w:lastRenderedPageBreak/>
        <w:t>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全会提出，坚持创新在我国现代化建设全局中的核心地位，把科技自立自强作为国家发展的战略支撑，面向世界科技前沿、面向</w:t>
      </w:r>
      <w:r>
        <w:rPr>
          <w:rFonts w:ascii="Times New Roman" w:eastAsia="方正仿宋_GBK" w:hAnsi="Times New Roman" w:cs="Times New Roman"/>
          <w:bCs/>
          <w:sz w:val="30"/>
          <w:szCs w:val="30"/>
        </w:rPr>
        <w:lastRenderedPageBreak/>
        <w:t>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提出，加快发展现代产业体系，推动经济体系优化升级。坚持把发展经济着力点放在实体经济上，坚定不移建设制造强国、质量强国、网络强国、数字中国，推进产业基础高级化、产业链现代化，提高经济质量效益和核心竞争力。要提升产业链供应链现代化水平，发展战略性新兴产业，加快发展现代服务业，统筹推进基础设施建设，加快建设交通强国，推进能源革命，加快数字化发展。</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提出，形成强大国内市场，构建新发展格局。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全会提出，优先发展农业农村，全面推进乡村振兴。坚持把解决好</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三农</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问题作为全党工作重中之重，走中国特色社会主义乡村振兴道路，全面实施乡村振兴战略，强化以工补农、以城带乡，推动形成工农互促、城乡互补、协调发展、共同繁荣的新型工农城乡</w:t>
      </w:r>
      <w:r>
        <w:rPr>
          <w:rFonts w:ascii="Times New Roman" w:eastAsia="方正仿宋_GBK" w:hAnsi="Times New Roman" w:cs="Times New Roman"/>
          <w:bCs/>
          <w:sz w:val="30"/>
          <w:szCs w:val="30"/>
        </w:rPr>
        <w:lastRenderedPageBreak/>
        <w:t>关系，加快农业农村现代化。要保障国家粮食安全，提高农业质量效益和竞争力，实施乡村建设行动，深化农村改革，实现巩固拓展脱贫攻坚成果同乡村振兴有效衔接。</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提出，优化国土空间布局，推进区域协调发展和新型城镇化。坚持实施区域重大战略、区域协调发展战略、主体功能区战略，健全区域协调发展体制机制，完善新型城镇化战略，构建高质量发展的国土空间布局和支撑体系。要构建国土空间开发保护新格局，推动区域协调发展，推进以人为核心的新型城镇化。</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提出，繁荣发展文化事业和文化产业，提高国家文化软实力。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要提高社会文明程度，提升公共文化服务水平，健全现代文化产业体系。</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全会提出，实行高水平对外开放，开拓合作共赢新局面。坚持实施更大范围、更宽领域、更深层次对外开放，依托我国大市场优</w:t>
      </w:r>
      <w:r>
        <w:rPr>
          <w:rFonts w:ascii="Times New Roman" w:eastAsia="方正仿宋_GBK" w:hAnsi="Times New Roman" w:cs="Times New Roman"/>
          <w:bCs/>
          <w:sz w:val="30"/>
          <w:szCs w:val="30"/>
        </w:rPr>
        <w:lastRenderedPageBreak/>
        <w:t>势，促进国际合作，实现互利共赢。要建设更高水平开放型经济新体制，全面提高对外开放水平，推动贸易和投资自由化便利化，推进贸易创新发展，推动共建</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一带一路</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高质量发展，积极参与全球经济治理体系改革。</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全面推进健康中国建设，实施积极应对人口老龄化国家战略，加强和创新社会治理。</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提出，统筹发展和安全，建设更高水平的平安中国。坚持总体国家安全观，实施国家安全战略，维护和塑造国家安全，统筹传统安全和非传统安全，把安全发展贯穿国家发展各领域和全过程，防范和化解影响我国现代化进程的各种风险，筑牢国家安全屏障。要加强国家安全体系和能力建设，确保国家经济安全，保障人民生命安全，维护社会稳定和安全。</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提出，加快国防和军队现代化，实现富国和强军相统一。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w:t>
      </w:r>
      <w:r>
        <w:rPr>
          <w:rFonts w:ascii="Times New Roman" w:eastAsia="方正仿宋_GBK" w:hAnsi="Times New Roman" w:cs="Times New Roman"/>
          <w:bCs/>
          <w:sz w:val="30"/>
          <w:szCs w:val="30"/>
        </w:rPr>
        <w:lastRenderedPageBreak/>
        <w:t>国防实力和经济实力同步提升，构建一体化国家战略体系和能力，推动重点区域、重点领域、新兴领域协调发展，优化国防科技工业布局，巩固军政军民团结。</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全会强调，实现</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十四五</w:t>
      </w:r>
      <w:r>
        <w:rPr>
          <w:rFonts w:ascii="Times New Roman" w:eastAsia="方正仿宋_GBK" w:hAnsi="Times New Roman" w:cs="Times New Roman"/>
          <w:bCs/>
          <w:sz w:val="30"/>
          <w:szCs w:val="30"/>
        </w:rPr>
        <w:t>”</w:t>
      </w:r>
      <w:r>
        <w:rPr>
          <w:rFonts w:ascii="Times New Roman" w:eastAsia="方正仿宋_GBK" w:hAnsi="Times New Roman" w:cs="Times New Roman"/>
          <w:bCs/>
          <w:sz w:val="30"/>
          <w:szCs w:val="30"/>
        </w:rPr>
        <w:t>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rsidR="00C652DB" w:rsidRDefault="0046586C">
      <w:pPr>
        <w:pStyle w:val="2"/>
        <w:snapToGrid w:val="0"/>
        <w:spacing w:line="520" w:lineRule="exact"/>
        <w:ind w:firstLine="600"/>
        <w:rPr>
          <w:rFonts w:ascii="Times New Roman" w:eastAsia="方正仿宋_GBK" w:hAnsi="Times New Roman" w:cs="Times New Roman"/>
          <w:bCs/>
          <w:sz w:val="30"/>
          <w:szCs w:val="30"/>
        </w:rPr>
      </w:pPr>
      <w:r>
        <w:rPr>
          <w:rFonts w:ascii="Times New Roman" w:eastAsia="方正仿宋_GBK" w:hAnsi="Times New Roman" w:cs="Times New Roman"/>
          <w:bCs/>
          <w:sz w:val="30"/>
          <w:szCs w:val="30"/>
        </w:rPr>
        <w:t>全会号召，全党全国各族人民要紧密团结在以习近平同志为核心的党中央周围，同心同德，顽强奋斗，夺取全面建设社会主义现代化国家新胜利</w:t>
      </w:r>
      <w:r>
        <w:rPr>
          <w:rFonts w:ascii="Times New Roman" w:eastAsia="方正仿宋_GBK" w:hAnsi="Times New Roman" w:cs="Times New Roman" w:hint="eastAsia"/>
          <w:bCs/>
          <w:sz w:val="30"/>
          <w:szCs w:val="30"/>
        </w:rPr>
        <w:t>！</w:t>
      </w:r>
    </w:p>
    <w:p w:rsidR="00C652DB" w:rsidRDefault="00C652DB">
      <w:pPr>
        <w:pStyle w:val="2"/>
        <w:ind w:firstLine="643"/>
        <w:rPr>
          <w:rFonts w:ascii="Times New Roman" w:eastAsia="方正仿宋_GBK" w:hAnsi="Times New Roman" w:cs="Times New Roman"/>
          <w:b/>
          <w:szCs w:val="32"/>
        </w:rPr>
      </w:pPr>
    </w:p>
    <w:p w:rsidR="00C652DB" w:rsidRDefault="00C652DB">
      <w:pPr>
        <w:widowControl/>
        <w:spacing w:line="440" w:lineRule="exact"/>
        <w:jc w:val="left"/>
        <w:rPr>
          <w:rFonts w:ascii="Times New Roman" w:eastAsia="方正楷体_GBK" w:hAnsi="Times New Roman" w:cs="Times New Roman"/>
          <w:b/>
          <w:sz w:val="24"/>
          <w:szCs w:val="28"/>
        </w:rPr>
      </w:pPr>
    </w:p>
    <w:sectPr w:rsidR="00C652DB">
      <w:pgSz w:w="11906" w:h="16838"/>
      <w:pgMar w:top="2041" w:right="1588" w:bottom="204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295" w:rsidRDefault="00DF6295">
      <w:r>
        <w:separator/>
      </w:r>
    </w:p>
  </w:endnote>
  <w:endnote w:type="continuationSeparator" w:id="0">
    <w:p w:rsidR="00DF6295" w:rsidRDefault="00DF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黑体_GBK">
    <w:altName w:val="Arial Unicode MS"/>
    <w:charset w:val="86"/>
    <w:family w:val="auto"/>
    <w:pitch w:val="default"/>
    <w:sig w:usb0="00000000" w:usb1="00000000" w:usb2="00082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仿宋_GBK">
    <w:panose1 w:val="02000000000000000000"/>
    <w:charset w:val="86"/>
    <w:family w:val="script"/>
    <w:pitch w:val="fixed"/>
    <w:sig w:usb0="00000001" w:usb1="080E0000" w:usb2="00000010" w:usb3="00000000" w:csb0="00040000" w:csb1="00000000"/>
  </w:font>
  <w:font w:name="方正楷体_GBK">
    <w:altName w:val="Arial Unicode MS"/>
    <w:charset w:val="86"/>
    <w:family w:val="auto"/>
    <w:pitch w:val="default"/>
    <w:sig w:usb0="00000000" w:usb1="00000000"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090011"/>
    </w:sdtPr>
    <w:sdtEndPr/>
    <w:sdtContent>
      <w:p w:rsidR="00C652DB" w:rsidRDefault="0046586C">
        <w:pPr>
          <w:pStyle w:val="a5"/>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AE024A" w:rsidRPr="00AE024A">
          <w:rPr>
            <w:rFonts w:ascii="Times New Roman" w:hAnsi="Times New Roman" w:cs="Times New Roman"/>
            <w:noProof/>
            <w:lang w:val="zh-CN"/>
          </w:rPr>
          <w:t>4</w:t>
        </w:r>
        <w:r>
          <w:rPr>
            <w:rFonts w:ascii="Times New Roman" w:hAnsi="Times New Roman" w:cs="Times New Roman"/>
          </w:rPr>
          <w:fldChar w:fldCharType="end"/>
        </w:r>
      </w:p>
    </w:sdtContent>
  </w:sdt>
  <w:p w:rsidR="00C652DB" w:rsidRDefault="00C652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295" w:rsidRDefault="00DF6295">
      <w:r>
        <w:separator/>
      </w:r>
    </w:p>
  </w:footnote>
  <w:footnote w:type="continuationSeparator" w:id="0">
    <w:p w:rsidR="00DF6295" w:rsidRDefault="00DF6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D3E9F"/>
    <w:multiLevelType w:val="singleLevel"/>
    <w:tmpl w:val="5FAD3E9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2DB"/>
    <w:rsid w:val="0046586C"/>
    <w:rsid w:val="007E4AF7"/>
    <w:rsid w:val="008C133B"/>
    <w:rsid w:val="009C5A6D"/>
    <w:rsid w:val="00AE024A"/>
    <w:rsid w:val="00B25430"/>
    <w:rsid w:val="00C652DB"/>
    <w:rsid w:val="00DF6295"/>
    <w:rsid w:val="00E3026E"/>
    <w:rsid w:val="00F73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ind w:firstLineChars="200" w:firstLine="200"/>
    </w:pPr>
    <w:rPr>
      <w:rFonts w:eastAsia="仿宋_GB2312"/>
      <w:sz w:val="32"/>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2">
    <w:name w:val="Body Text First Indent 2"/>
    <w:basedOn w:val="a3"/>
    <w:uiPriority w:val="99"/>
    <w:unhideWhenUsed/>
    <w:qFormat/>
    <w:pPr>
      <w:ind w:firstLine="420"/>
    </w:p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character" w:styleId="a8">
    <w:name w:val="Strong"/>
    <w:basedOn w:val="a0"/>
    <w:uiPriority w:val="22"/>
    <w:qFormat/>
    <w:rPr>
      <w:b/>
    </w:rPr>
  </w:style>
  <w:style w:type="character" w:styleId="a9">
    <w:name w:val="Hyperlink"/>
    <w:basedOn w:val="a0"/>
    <w:uiPriority w:val="99"/>
    <w:unhideWhenUsed/>
    <w:qFormat/>
    <w:rPr>
      <w:color w:val="0000FF"/>
      <w:u w:val="single"/>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customStyle="1" w:styleId="10">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ind w:firstLineChars="200" w:firstLine="200"/>
    </w:pPr>
    <w:rPr>
      <w:rFonts w:eastAsia="仿宋_GB2312"/>
      <w:sz w:val="32"/>
    </w:r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2">
    <w:name w:val="Body Text First Indent 2"/>
    <w:basedOn w:val="a3"/>
    <w:uiPriority w:val="99"/>
    <w:unhideWhenUsed/>
    <w:qFormat/>
    <w:pPr>
      <w:ind w:firstLine="420"/>
    </w:p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character" w:styleId="a8">
    <w:name w:val="Strong"/>
    <w:basedOn w:val="a0"/>
    <w:uiPriority w:val="22"/>
    <w:qFormat/>
    <w:rPr>
      <w:b/>
    </w:rPr>
  </w:style>
  <w:style w:type="character" w:styleId="a9">
    <w:name w:val="Hyperlink"/>
    <w:basedOn w:val="a0"/>
    <w:uiPriority w:val="99"/>
    <w:unhideWhenUsed/>
    <w:qFormat/>
    <w:rPr>
      <w:color w:val="0000FF"/>
      <w:u w:val="single"/>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950</Words>
  <Characters>5415</Characters>
  <Application>Microsoft Office Word</Application>
  <DocSecurity>0</DocSecurity>
  <Lines>45</Lines>
  <Paragraphs>12</Paragraphs>
  <ScaleCrop>false</ScaleCrop>
  <Company>Lenovo</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高亮</dc:creator>
  <cp:lastModifiedBy>Sky123.Org</cp:lastModifiedBy>
  <cp:revision>20</cp:revision>
  <cp:lastPrinted>2020-11-13T17:02:00Z</cp:lastPrinted>
  <dcterms:created xsi:type="dcterms:W3CDTF">2019-03-19T18:24:00Z</dcterms:created>
  <dcterms:modified xsi:type="dcterms:W3CDTF">2020-11-18T14:06:00Z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329220</vt:i4>
  </property>
  <property fmtid="{D5CDD505-2E9C-101B-9397-08002B2CF9AE}" pid="3" name="KSOProductBuildVer">
    <vt:lpwstr>2052-11.0.0</vt:lpwstr>
  </property>
</Properties>
</file>